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1" w:rsidRPr="00E714B1" w:rsidRDefault="00486417" w:rsidP="00E714B1">
      <w:pPr>
        <w:spacing w:after="0" w:line="825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666666"/>
          <w:spacing w:val="-45"/>
          <w:kern w:val="36"/>
          <w:sz w:val="60"/>
          <w:szCs w:val="60"/>
          <w:lang w:eastAsia="fr-CA"/>
        </w:rPr>
      </w:pPr>
      <w:hyperlink r:id="rId4" w:tooltip="La Cohue" w:history="1">
        <w:r w:rsidR="00E714B1" w:rsidRPr="00E714B1">
          <w:rPr>
            <w:rFonts w:ascii="Verdana" w:eastAsia="Times New Roman" w:hAnsi="Verdana" w:cs="Times New Roman"/>
            <w:b/>
            <w:bCs/>
            <w:color w:val="2E2E29"/>
            <w:spacing w:val="-45"/>
            <w:kern w:val="36"/>
            <w:sz w:val="60"/>
            <w:szCs w:val="60"/>
            <w:bdr w:val="none" w:sz="0" w:space="0" w:color="auto" w:frame="1"/>
            <w:lang w:eastAsia="fr-CA"/>
          </w:rPr>
          <w:t>La Cohue</w:t>
        </w:r>
      </w:hyperlink>
    </w:p>
    <w:tbl>
      <w:tblPr>
        <w:tblStyle w:val="Grilledutableau"/>
        <w:tblpPr w:leftFromText="141" w:rightFromText="141" w:vertAnchor="page" w:horzAnchor="margin" w:tblpXSpec="center" w:tblpY="3269"/>
        <w:tblW w:w="0" w:type="auto"/>
        <w:tblLook w:val="04A0" w:firstRow="1" w:lastRow="0" w:firstColumn="1" w:lastColumn="0" w:noHBand="0" w:noVBand="1"/>
      </w:tblPr>
      <w:tblGrid>
        <w:gridCol w:w="2200"/>
        <w:gridCol w:w="2201"/>
        <w:gridCol w:w="2201"/>
      </w:tblGrid>
      <w:tr w:rsidR="00E714B1" w:rsidRPr="00E714B1" w:rsidTr="00241A77">
        <w:trPr>
          <w:trHeight w:val="485"/>
        </w:trPr>
        <w:tc>
          <w:tcPr>
            <w:tcW w:w="6602" w:type="dxa"/>
            <w:gridSpan w:val="3"/>
          </w:tcPr>
          <w:p w:rsidR="00E714B1" w:rsidRPr="00E714B1" w:rsidRDefault="00E714B1" w:rsidP="00241A77">
            <w:pPr>
              <w:jc w:val="center"/>
              <w:rPr>
                <w:b/>
              </w:rPr>
            </w:pPr>
            <w:r w:rsidRPr="00E714B1">
              <w:rPr>
                <w:b/>
              </w:rPr>
              <w:t>CALENDRIER 2017-2018</w:t>
            </w:r>
            <w:r w:rsidR="00241A77">
              <w:rPr>
                <w:b/>
              </w:rPr>
              <w:t xml:space="preserve"> de la Cohue</w:t>
            </w:r>
          </w:p>
        </w:tc>
      </w:tr>
      <w:tr w:rsidR="00E714B1" w:rsidRPr="00E714B1" w:rsidTr="00241A77">
        <w:trPr>
          <w:trHeight w:val="485"/>
        </w:trPr>
        <w:tc>
          <w:tcPr>
            <w:tcW w:w="2200" w:type="dxa"/>
          </w:tcPr>
          <w:p w:rsidR="00E714B1" w:rsidRPr="00E714B1" w:rsidRDefault="00E714B1" w:rsidP="00241A77">
            <w:pPr>
              <w:rPr>
                <w:b/>
              </w:rPr>
            </w:pPr>
            <w:r w:rsidRPr="00E714B1">
              <w:rPr>
                <w:b/>
              </w:rPr>
              <w:t>Mois</w:t>
            </w:r>
          </w:p>
        </w:tc>
        <w:tc>
          <w:tcPr>
            <w:tcW w:w="2201" w:type="dxa"/>
          </w:tcPr>
          <w:p w:rsidR="00E714B1" w:rsidRPr="00E714B1" w:rsidRDefault="00E714B1" w:rsidP="00241A77">
            <w:pPr>
              <w:rPr>
                <w:b/>
              </w:rPr>
            </w:pPr>
            <w:r w:rsidRPr="00E714B1">
              <w:rPr>
                <w:b/>
              </w:rPr>
              <w:t>Date de tombée</w:t>
            </w:r>
          </w:p>
        </w:tc>
        <w:tc>
          <w:tcPr>
            <w:tcW w:w="2201" w:type="dxa"/>
          </w:tcPr>
          <w:p w:rsidR="00E714B1" w:rsidRPr="00E714B1" w:rsidRDefault="00E714B1" w:rsidP="00241A77">
            <w:pPr>
              <w:rPr>
                <w:b/>
              </w:rPr>
            </w:pPr>
            <w:r>
              <w:rPr>
                <w:b/>
              </w:rPr>
              <w:t>Date de parution</w:t>
            </w:r>
          </w:p>
        </w:tc>
      </w:tr>
      <w:tr w:rsidR="00241A77" w:rsidTr="00241A77">
        <w:trPr>
          <w:trHeight w:val="508"/>
        </w:trPr>
        <w:tc>
          <w:tcPr>
            <w:tcW w:w="2200" w:type="dxa"/>
          </w:tcPr>
          <w:p w:rsidR="00241A77" w:rsidRDefault="00241A77" w:rsidP="00241A77">
            <w:r>
              <w:t>Août</w:t>
            </w:r>
          </w:p>
        </w:tc>
        <w:tc>
          <w:tcPr>
            <w:tcW w:w="2201" w:type="dxa"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28 août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Septembre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6 septembre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11 septembre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20 septembre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25 septembre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Octobre</w:t>
            </w:r>
          </w:p>
        </w:tc>
        <w:tc>
          <w:tcPr>
            <w:tcW w:w="2201" w:type="dxa"/>
          </w:tcPr>
          <w:p w:rsidR="00241A77" w:rsidRDefault="00241A77" w:rsidP="00241A77">
            <w:r>
              <w:t>4 octobre</w:t>
            </w:r>
          </w:p>
        </w:tc>
        <w:tc>
          <w:tcPr>
            <w:tcW w:w="2201" w:type="dxa"/>
          </w:tcPr>
          <w:p w:rsidR="00241A77" w:rsidRDefault="00241A77" w:rsidP="00241A77">
            <w:r>
              <w:t>9 octobre</w:t>
            </w:r>
          </w:p>
        </w:tc>
      </w:tr>
      <w:tr w:rsidR="00241A77" w:rsidTr="00241A77">
        <w:trPr>
          <w:trHeight w:val="508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18 octobre</w:t>
            </w:r>
            <w:r w:rsidR="002D56FB">
              <w:t xml:space="preserve"> (période d’activités libres)</w:t>
            </w:r>
          </w:p>
        </w:tc>
        <w:tc>
          <w:tcPr>
            <w:tcW w:w="2201" w:type="dxa"/>
          </w:tcPr>
          <w:p w:rsidR="00241A77" w:rsidRDefault="00241A77" w:rsidP="00241A77">
            <w:r>
              <w:t>23 octobre</w:t>
            </w:r>
            <w:r w:rsidR="002D56FB">
              <w:t xml:space="preserve"> </w:t>
            </w:r>
            <w:r w:rsidR="002D56FB">
              <w:t>(période d’activité</w:t>
            </w:r>
            <w:r w:rsidR="002D56FB">
              <w:t>s</w:t>
            </w:r>
            <w:r w:rsidR="002D56FB">
              <w:t xml:space="preserve"> libres)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Novembre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1</w:t>
            </w:r>
            <w:r w:rsidRPr="00241A77">
              <w:rPr>
                <w:vertAlign w:val="superscript"/>
              </w:rPr>
              <w:t>er</w:t>
            </w:r>
            <w:r>
              <w:t xml:space="preserve"> novembre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6 novembre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15 novembre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20 novembre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Décembre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29 novembre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4 décembre</w:t>
            </w:r>
          </w:p>
        </w:tc>
      </w:tr>
      <w:tr w:rsidR="00241A77" w:rsidTr="00241A77">
        <w:trPr>
          <w:trHeight w:val="508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13 décembre</w:t>
            </w:r>
          </w:p>
        </w:tc>
        <w:tc>
          <w:tcPr>
            <w:tcW w:w="2201" w:type="dxa"/>
          </w:tcPr>
          <w:p w:rsidR="00241A77" w:rsidRDefault="00241A77" w:rsidP="00241A77">
            <w:r>
              <w:t>18 décembre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Janvier</w:t>
            </w:r>
          </w:p>
        </w:tc>
        <w:tc>
          <w:tcPr>
            <w:tcW w:w="2201" w:type="dxa"/>
          </w:tcPr>
          <w:p w:rsidR="00241A77" w:rsidRDefault="00241A77" w:rsidP="00241A77">
            <w:r>
              <w:t>10 janvier</w:t>
            </w:r>
          </w:p>
        </w:tc>
        <w:tc>
          <w:tcPr>
            <w:tcW w:w="2201" w:type="dxa"/>
          </w:tcPr>
          <w:p w:rsidR="00241A77" w:rsidRDefault="00241A77" w:rsidP="00241A77">
            <w:r>
              <w:t>15 janvier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24 janvier</w:t>
            </w:r>
          </w:p>
        </w:tc>
        <w:tc>
          <w:tcPr>
            <w:tcW w:w="2201" w:type="dxa"/>
          </w:tcPr>
          <w:p w:rsidR="00241A77" w:rsidRDefault="00241A77" w:rsidP="00241A77">
            <w:r>
              <w:t>29 janvier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Février</w:t>
            </w:r>
          </w:p>
        </w:tc>
        <w:tc>
          <w:tcPr>
            <w:tcW w:w="2201" w:type="dxa"/>
          </w:tcPr>
          <w:p w:rsidR="00241A77" w:rsidRDefault="00241A77" w:rsidP="00241A77">
            <w:r>
              <w:t>7 février</w:t>
            </w:r>
          </w:p>
        </w:tc>
        <w:tc>
          <w:tcPr>
            <w:tcW w:w="2201" w:type="dxa"/>
          </w:tcPr>
          <w:p w:rsidR="00241A77" w:rsidRDefault="00241A77" w:rsidP="00241A77">
            <w:r>
              <w:t>12 février</w:t>
            </w:r>
          </w:p>
        </w:tc>
      </w:tr>
      <w:tr w:rsidR="00241A77" w:rsidTr="00241A77">
        <w:trPr>
          <w:trHeight w:val="508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21 février</w:t>
            </w:r>
          </w:p>
        </w:tc>
        <w:tc>
          <w:tcPr>
            <w:tcW w:w="2201" w:type="dxa"/>
          </w:tcPr>
          <w:p w:rsidR="00241A77" w:rsidRDefault="00241A77" w:rsidP="00241A77">
            <w:r>
              <w:t>26 février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Mars</w:t>
            </w:r>
          </w:p>
        </w:tc>
        <w:tc>
          <w:tcPr>
            <w:tcW w:w="2201" w:type="dxa"/>
          </w:tcPr>
          <w:p w:rsidR="00241A77" w:rsidRDefault="00241A77" w:rsidP="00241A77">
            <w:r>
              <w:t>7 mars</w:t>
            </w:r>
            <w:r w:rsidR="002D56FB">
              <w:t xml:space="preserve"> </w:t>
            </w:r>
            <w:r w:rsidR="002D56FB">
              <w:t>(période d’activité</w:t>
            </w:r>
            <w:r w:rsidR="002D56FB">
              <w:t>s</w:t>
            </w:r>
            <w:bookmarkStart w:id="0" w:name="_GoBack"/>
            <w:bookmarkEnd w:id="0"/>
            <w:r w:rsidR="002D56FB">
              <w:t xml:space="preserve"> libres)</w:t>
            </w:r>
          </w:p>
        </w:tc>
        <w:tc>
          <w:tcPr>
            <w:tcW w:w="2201" w:type="dxa"/>
          </w:tcPr>
          <w:p w:rsidR="00241A77" w:rsidRDefault="00241A77" w:rsidP="00241A77">
            <w:r>
              <w:t>12 mars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21 mars</w:t>
            </w:r>
          </w:p>
        </w:tc>
        <w:tc>
          <w:tcPr>
            <w:tcW w:w="2201" w:type="dxa"/>
          </w:tcPr>
          <w:p w:rsidR="00241A77" w:rsidRDefault="00241A77" w:rsidP="00241A77">
            <w:r>
              <w:t>26 mars</w:t>
            </w:r>
          </w:p>
        </w:tc>
      </w:tr>
      <w:tr w:rsidR="00241A77" w:rsidTr="00241A77">
        <w:trPr>
          <w:trHeight w:val="485"/>
        </w:trPr>
        <w:tc>
          <w:tcPr>
            <w:tcW w:w="2200" w:type="dxa"/>
            <w:vMerge w:val="restart"/>
          </w:tcPr>
          <w:p w:rsidR="00241A77" w:rsidRDefault="00241A77" w:rsidP="00241A77">
            <w:r>
              <w:t>Avril</w:t>
            </w:r>
          </w:p>
        </w:tc>
        <w:tc>
          <w:tcPr>
            <w:tcW w:w="2201" w:type="dxa"/>
          </w:tcPr>
          <w:p w:rsidR="00241A77" w:rsidRDefault="00241A77" w:rsidP="00241A77">
            <w:r>
              <w:t>4 avril</w:t>
            </w:r>
          </w:p>
        </w:tc>
        <w:tc>
          <w:tcPr>
            <w:tcW w:w="2201" w:type="dxa"/>
          </w:tcPr>
          <w:p w:rsidR="00241A77" w:rsidRDefault="00241A77" w:rsidP="00241A77">
            <w:r>
              <w:t>9 avril</w:t>
            </w:r>
          </w:p>
        </w:tc>
      </w:tr>
      <w:tr w:rsidR="00241A77" w:rsidTr="00241A77">
        <w:trPr>
          <w:trHeight w:val="508"/>
        </w:trPr>
        <w:tc>
          <w:tcPr>
            <w:tcW w:w="2200" w:type="dxa"/>
            <w:vMerge/>
          </w:tcPr>
          <w:p w:rsidR="00241A77" w:rsidRDefault="00241A77" w:rsidP="00241A77"/>
        </w:tc>
        <w:tc>
          <w:tcPr>
            <w:tcW w:w="2201" w:type="dxa"/>
          </w:tcPr>
          <w:p w:rsidR="00241A77" w:rsidRDefault="00241A77" w:rsidP="00241A77">
            <w:r>
              <w:t>20 avril</w:t>
            </w:r>
          </w:p>
        </w:tc>
        <w:tc>
          <w:tcPr>
            <w:tcW w:w="2201" w:type="dxa"/>
          </w:tcPr>
          <w:p w:rsidR="00241A77" w:rsidRDefault="00241A77" w:rsidP="00241A77">
            <w:r>
              <w:t>23 avril</w:t>
            </w:r>
          </w:p>
        </w:tc>
      </w:tr>
    </w:tbl>
    <w:p w:rsidR="00157ABA" w:rsidRDefault="00E714B1" w:rsidP="00E714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B0B1A8"/>
          <w:sz w:val="18"/>
          <w:szCs w:val="18"/>
          <w:lang w:eastAsia="fr-CA"/>
        </w:rPr>
      </w:pPr>
      <w:r w:rsidRPr="00E714B1">
        <w:rPr>
          <w:rFonts w:ascii="Verdana" w:eastAsia="Times New Roman" w:hAnsi="Verdana" w:cs="Times New Roman"/>
          <w:color w:val="B0B1A8"/>
          <w:sz w:val="18"/>
          <w:szCs w:val="18"/>
          <w:lang w:eastAsia="fr-CA"/>
        </w:rPr>
        <w:t>Le journal de l'Action humanitaire et communautaire</w:t>
      </w:r>
    </w:p>
    <w:p w:rsidR="00241A77" w:rsidRDefault="00241A77" w:rsidP="00E714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B0B1A8"/>
          <w:sz w:val="18"/>
          <w:szCs w:val="18"/>
          <w:lang w:eastAsia="fr-CA"/>
        </w:rPr>
      </w:pPr>
    </w:p>
    <w:p w:rsidR="00241A77" w:rsidRDefault="00241A77" w:rsidP="00E714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B0B1A8"/>
          <w:sz w:val="18"/>
          <w:szCs w:val="18"/>
          <w:lang w:eastAsia="fr-CA"/>
        </w:rPr>
      </w:pPr>
    </w:p>
    <w:p w:rsidR="00241A77" w:rsidRPr="00E714B1" w:rsidRDefault="00241A77" w:rsidP="00E714B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B0B1A8"/>
          <w:sz w:val="18"/>
          <w:szCs w:val="18"/>
          <w:lang w:eastAsia="fr-CA"/>
        </w:rPr>
      </w:pPr>
    </w:p>
    <w:sectPr w:rsidR="00241A77" w:rsidRPr="00E714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B1"/>
    <w:rsid w:val="00157ABA"/>
    <w:rsid w:val="00241A77"/>
    <w:rsid w:val="002D56FB"/>
    <w:rsid w:val="00486417"/>
    <w:rsid w:val="00E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13D4E-4D19-4B94-BA82-B9218A7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714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714B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E71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communautaire.umontreal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Vienneau  Alain</cp:lastModifiedBy>
  <cp:revision>2</cp:revision>
  <dcterms:created xsi:type="dcterms:W3CDTF">2017-05-29T18:36:00Z</dcterms:created>
  <dcterms:modified xsi:type="dcterms:W3CDTF">2017-06-06T15:17:00Z</dcterms:modified>
</cp:coreProperties>
</file>